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EF" w:rsidRPr="0052626E" w:rsidRDefault="002907EF" w:rsidP="002907EF">
      <w:pPr>
        <w:spacing w:line="460" w:lineRule="exact"/>
        <w:rPr>
          <w:rFonts w:ascii="仿宋" w:eastAsia="仿宋" w:hAnsi="仿宋"/>
          <w:color w:val="222222"/>
          <w:sz w:val="30"/>
          <w:szCs w:val="30"/>
          <w:shd w:val="clear" w:color="auto" w:fill="FFFFFF"/>
        </w:rPr>
      </w:pPr>
      <w:r w:rsidRPr="0052626E">
        <w:rPr>
          <w:rFonts w:ascii="仿宋" w:eastAsia="仿宋" w:hAnsi="仿宋" w:hint="eastAsia"/>
          <w:color w:val="222222"/>
          <w:sz w:val="30"/>
          <w:szCs w:val="30"/>
          <w:shd w:val="clear" w:color="auto" w:fill="FFFFFF"/>
        </w:rPr>
        <w:t>附件2</w:t>
      </w:r>
      <w:r>
        <w:rPr>
          <w:rFonts w:ascii="仿宋" w:eastAsia="仿宋" w:hAnsi="仿宋" w:hint="eastAsia"/>
          <w:color w:val="222222"/>
          <w:sz w:val="30"/>
          <w:szCs w:val="30"/>
          <w:shd w:val="clear" w:color="auto" w:fill="FFFFFF"/>
        </w:rPr>
        <w:t>：</w:t>
      </w:r>
    </w:p>
    <w:p w:rsidR="002907EF" w:rsidRDefault="002907EF" w:rsidP="002907EF">
      <w:pPr>
        <w:spacing w:line="460" w:lineRule="exact"/>
        <w:jc w:val="center"/>
        <w:rPr>
          <w:rFonts w:ascii="黑体" w:eastAsia="黑体" w:hAnsi="黑体"/>
          <w:color w:val="222222"/>
          <w:sz w:val="30"/>
          <w:szCs w:val="30"/>
          <w:shd w:val="clear" w:color="auto" w:fill="FFFFFF"/>
        </w:rPr>
      </w:pPr>
      <w:bookmarkStart w:id="0" w:name="_GoBack"/>
      <w:r w:rsidRPr="00884C68">
        <w:rPr>
          <w:rFonts w:ascii="黑体" w:eastAsia="黑体" w:hAnsi="黑体" w:hint="eastAsia"/>
          <w:color w:val="222222"/>
          <w:sz w:val="30"/>
          <w:szCs w:val="30"/>
          <w:shd w:val="clear" w:color="auto" w:fill="FFFFFF"/>
        </w:rPr>
        <w:t>“星火训练营”卓越本科生综合素质培养计划</w:t>
      </w:r>
      <w:r w:rsidRPr="00046CE1">
        <w:rPr>
          <w:rFonts w:ascii="黑体" w:eastAsia="黑体" w:hAnsi="黑体" w:hint="eastAsia"/>
          <w:color w:val="222222"/>
          <w:sz w:val="30"/>
          <w:szCs w:val="30"/>
          <w:shd w:val="clear" w:color="auto" w:fill="FFFFFF"/>
        </w:rPr>
        <w:t>培养方案</w:t>
      </w:r>
    </w:p>
    <w:bookmarkEnd w:id="0"/>
    <w:p w:rsidR="002907EF" w:rsidRPr="00046CE1" w:rsidRDefault="002907EF" w:rsidP="002907EF">
      <w:pPr>
        <w:spacing w:line="460" w:lineRule="exact"/>
        <w:jc w:val="center"/>
        <w:rPr>
          <w:rFonts w:ascii="黑体" w:eastAsia="黑体" w:hAnsi="黑体" w:hint="eastAsia"/>
          <w:color w:val="222222"/>
          <w:sz w:val="30"/>
          <w:szCs w:val="30"/>
          <w:shd w:val="clear" w:color="auto" w:fill="FFFFFF"/>
        </w:rPr>
      </w:pPr>
    </w:p>
    <w:p w:rsidR="002907EF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46CE1">
        <w:rPr>
          <w:rFonts w:ascii="仿宋" w:eastAsia="仿宋" w:hAnsi="仿宋" w:hint="eastAsia"/>
          <w:sz w:val="30"/>
          <w:szCs w:val="30"/>
        </w:rPr>
        <w:t>为全面推进学校优秀学生骨干培养工作的科学化、专业化和系统化，结合学校工作实际，特制定</w:t>
      </w:r>
      <w:r w:rsidRPr="00884C68">
        <w:rPr>
          <w:rFonts w:ascii="仿宋" w:eastAsia="仿宋" w:hAnsi="仿宋" w:hint="eastAsia"/>
          <w:sz w:val="30"/>
          <w:szCs w:val="30"/>
        </w:rPr>
        <w:t>“星火训练营”卓越本科生综合素质培养计划</w:t>
      </w:r>
      <w:r>
        <w:rPr>
          <w:rFonts w:ascii="仿宋" w:eastAsia="仿宋" w:hAnsi="仿宋" w:hint="eastAsia"/>
          <w:sz w:val="30"/>
          <w:szCs w:val="30"/>
        </w:rPr>
        <w:t>（简称“星火计划”）培养方案。</w:t>
      </w:r>
    </w:p>
    <w:p w:rsidR="002907EF" w:rsidRDefault="002907EF" w:rsidP="002907EF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46CE1">
        <w:rPr>
          <w:rFonts w:ascii="仿宋" w:eastAsia="仿宋" w:hAnsi="仿宋" w:hint="eastAsia"/>
          <w:b/>
          <w:sz w:val="30"/>
          <w:szCs w:val="30"/>
        </w:rPr>
        <w:t>一、培养目标</w:t>
      </w:r>
    </w:p>
    <w:p w:rsidR="002907EF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坚持</w:t>
      </w:r>
      <w:r w:rsidRPr="00046CE1">
        <w:rPr>
          <w:rFonts w:ascii="仿宋" w:eastAsia="仿宋" w:hAnsi="仿宋" w:hint="eastAsia"/>
          <w:sz w:val="30"/>
          <w:szCs w:val="30"/>
        </w:rPr>
        <w:t>用</w:t>
      </w:r>
      <w:r w:rsidRPr="00E10E57">
        <w:rPr>
          <w:rFonts w:ascii="仿宋" w:eastAsia="仿宋" w:hAnsi="仿宋" w:hint="eastAsia"/>
          <w:sz w:val="30"/>
          <w:szCs w:val="30"/>
        </w:rPr>
        <w:t>习近平新时代中国特色社会主义思想</w:t>
      </w:r>
      <w:r>
        <w:rPr>
          <w:rFonts w:ascii="仿宋" w:eastAsia="仿宋" w:hAnsi="仿宋" w:hint="eastAsia"/>
          <w:sz w:val="30"/>
          <w:szCs w:val="30"/>
        </w:rPr>
        <w:t>武装</w:t>
      </w:r>
      <w:r w:rsidRPr="00046CE1">
        <w:rPr>
          <w:rFonts w:ascii="仿宋" w:eastAsia="仿宋" w:hAnsi="仿宋" w:hint="eastAsia"/>
          <w:sz w:val="30"/>
          <w:szCs w:val="30"/>
        </w:rPr>
        <w:t>青年</w:t>
      </w:r>
      <w:r>
        <w:rPr>
          <w:rFonts w:ascii="仿宋" w:eastAsia="仿宋" w:hAnsi="仿宋" w:hint="eastAsia"/>
          <w:sz w:val="30"/>
          <w:szCs w:val="30"/>
        </w:rPr>
        <w:t>大学生</w:t>
      </w:r>
      <w:r w:rsidRPr="00046CE1">
        <w:rPr>
          <w:rFonts w:ascii="仿宋" w:eastAsia="仿宋" w:hAnsi="仿宋" w:hint="eastAsia"/>
          <w:sz w:val="30"/>
          <w:szCs w:val="30"/>
        </w:rPr>
        <w:t>，培养一批信念坚定、理想崇高、素质全面的青年骨干，引领青年将自身成才与国家富强、民族复兴、人民幸福相结合，成长为</w:t>
      </w:r>
      <w:r>
        <w:rPr>
          <w:rFonts w:ascii="仿宋" w:eastAsia="仿宋" w:hAnsi="仿宋" w:hint="eastAsia"/>
          <w:sz w:val="30"/>
          <w:szCs w:val="30"/>
        </w:rPr>
        <w:t>担当民族复兴大任的时代新人</w:t>
      </w:r>
      <w:r w:rsidRPr="00046CE1">
        <w:rPr>
          <w:rFonts w:ascii="仿宋" w:eastAsia="仿宋" w:hAnsi="仿宋" w:hint="eastAsia"/>
          <w:sz w:val="30"/>
          <w:szCs w:val="30"/>
        </w:rPr>
        <w:t>。</w:t>
      </w:r>
    </w:p>
    <w:p w:rsidR="002907EF" w:rsidRDefault="002907EF" w:rsidP="002907EF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10E57">
        <w:rPr>
          <w:rFonts w:ascii="仿宋" w:eastAsia="仿宋" w:hAnsi="仿宋" w:hint="eastAsia"/>
          <w:b/>
          <w:sz w:val="30"/>
          <w:szCs w:val="30"/>
        </w:rPr>
        <w:t>二、培养时间</w:t>
      </w:r>
    </w:p>
    <w:p w:rsidR="002907EF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F4DF6">
        <w:rPr>
          <w:rFonts w:ascii="仿宋" w:eastAsia="仿宋" w:hAnsi="仿宋" w:hint="eastAsia"/>
          <w:sz w:val="30"/>
          <w:szCs w:val="30"/>
        </w:rPr>
        <w:t>大</w:t>
      </w:r>
      <w:proofErr w:type="gramStart"/>
      <w:r w:rsidRPr="002F4DF6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2F4DF6">
        <w:rPr>
          <w:rFonts w:ascii="仿宋" w:eastAsia="仿宋" w:hAnsi="仿宋" w:hint="eastAsia"/>
          <w:sz w:val="30"/>
          <w:szCs w:val="30"/>
        </w:rPr>
        <w:t>当年10月开班，大三当年9月结束</w:t>
      </w:r>
    </w:p>
    <w:p w:rsidR="002907EF" w:rsidRDefault="002907EF" w:rsidP="002907EF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1557F">
        <w:rPr>
          <w:rFonts w:ascii="仿宋" w:eastAsia="仿宋" w:hAnsi="仿宋" w:hint="eastAsia"/>
          <w:b/>
          <w:sz w:val="30"/>
          <w:szCs w:val="30"/>
        </w:rPr>
        <w:t>三、</w:t>
      </w:r>
      <w:r>
        <w:rPr>
          <w:rFonts w:ascii="仿宋" w:eastAsia="仿宋" w:hAnsi="仿宋" w:hint="eastAsia"/>
          <w:b/>
          <w:sz w:val="30"/>
          <w:szCs w:val="30"/>
        </w:rPr>
        <w:t>培养对象</w:t>
      </w:r>
    </w:p>
    <w:p w:rsidR="002907EF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星火训练营学员</w:t>
      </w:r>
    </w:p>
    <w:p w:rsidR="002907EF" w:rsidRDefault="002907EF" w:rsidP="002907EF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4299D">
        <w:rPr>
          <w:rFonts w:ascii="仿宋" w:eastAsia="仿宋" w:hAnsi="仿宋" w:hint="eastAsia"/>
          <w:b/>
          <w:sz w:val="30"/>
          <w:szCs w:val="30"/>
        </w:rPr>
        <w:t>四、</w:t>
      </w:r>
      <w:r>
        <w:rPr>
          <w:rFonts w:ascii="仿宋" w:eastAsia="仿宋" w:hAnsi="仿宋" w:hint="eastAsia"/>
          <w:b/>
          <w:sz w:val="30"/>
          <w:szCs w:val="30"/>
        </w:rPr>
        <w:t>课程设置</w:t>
      </w:r>
    </w:p>
    <w:p w:rsidR="002907EF" w:rsidRPr="00B4627B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755CE">
        <w:rPr>
          <w:rFonts w:ascii="仿宋" w:eastAsia="仿宋" w:hAnsi="仿宋" w:hint="eastAsia"/>
          <w:sz w:val="30"/>
          <w:szCs w:val="30"/>
        </w:rPr>
        <w:t>学校依托</w:t>
      </w:r>
      <w:r w:rsidRPr="00D21E14">
        <w:rPr>
          <w:rFonts w:ascii="仿宋" w:eastAsia="仿宋" w:hAnsi="仿宋" w:hint="eastAsia"/>
          <w:sz w:val="30"/>
          <w:szCs w:val="30"/>
        </w:rPr>
        <w:t>专题报告</w:t>
      </w:r>
      <w:r w:rsidRPr="00E755CE">
        <w:rPr>
          <w:rFonts w:ascii="仿宋" w:eastAsia="仿宋" w:hAnsi="仿宋" w:hint="eastAsia"/>
          <w:sz w:val="30"/>
          <w:szCs w:val="30"/>
        </w:rPr>
        <w:t>、社会观察、实践锻炼、</w:t>
      </w:r>
      <w:r>
        <w:rPr>
          <w:rFonts w:ascii="仿宋" w:eastAsia="仿宋" w:hAnsi="仿宋" w:hint="eastAsia"/>
          <w:sz w:val="30"/>
          <w:szCs w:val="30"/>
        </w:rPr>
        <w:t>交流研讨、课题研究、素质拓展</w:t>
      </w:r>
      <w:r w:rsidRPr="00E755CE"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</w:rPr>
        <w:t>六</w:t>
      </w:r>
      <w:r w:rsidRPr="00E755CE">
        <w:rPr>
          <w:rFonts w:ascii="仿宋" w:eastAsia="仿宋" w:hAnsi="仿宋" w:hint="eastAsia"/>
          <w:sz w:val="30"/>
          <w:szCs w:val="30"/>
        </w:rPr>
        <w:t>大教育模块，开展“</w:t>
      </w:r>
      <w:r>
        <w:rPr>
          <w:rFonts w:ascii="仿宋" w:eastAsia="仿宋" w:hAnsi="仿宋" w:hint="eastAsia"/>
          <w:sz w:val="30"/>
          <w:szCs w:val="30"/>
        </w:rPr>
        <w:t>星火训练营”学员的系统教育与培养，设立必修课程与选修课程（打*为选修）</w:t>
      </w:r>
      <w:r w:rsidRPr="00E755CE">
        <w:rPr>
          <w:rFonts w:ascii="仿宋" w:eastAsia="仿宋" w:hAnsi="仿宋" w:hint="eastAsia"/>
          <w:sz w:val="30"/>
          <w:szCs w:val="30"/>
        </w:rPr>
        <w:t>，获取相应</w:t>
      </w:r>
      <w:r w:rsidRPr="00227768">
        <w:rPr>
          <w:rFonts w:ascii="仿宋" w:eastAsia="仿宋" w:hAnsi="仿宋" w:hint="eastAsia"/>
          <w:sz w:val="30"/>
          <w:szCs w:val="30"/>
        </w:rPr>
        <w:t>学分。</w:t>
      </w:r>
    </w:p>
    <w:tbl>
      <w:tblPr>
        <w:tblStyle w:val="a3"/>
        <w:tblW w:w="8936" w:type="dxa"/>
        <w:jc w:val="center"/>
        <w:tblLook w:val="04A0" w:firstRow="1" w:lastRow="0" w:firstColumn="1" w:lastColumn="0" w:noHBand="0" w:noVBand="1"/>
      </w:tblPr>
      <w:tblGrid>
        <w:gridCol w:w="1707"/>
        <w:gridCol w:w="4106"/>
        <w:gridCol w:w="982"/>
        <w:gridCol w:w="2141"/>
      </w:tblGrid>
      <w:tr w:rsidR="002907EF" w:rsidTr="00227D42">
        <w:trPr>
          <w:jc w:val="center"/>
        </w:trPr>
        <w:tc>
          <w:tcPr>
            <w:tcW w:w="1707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7768">
              <w:rPr>
                <w:rFonts w:ascii="仿宋" w:eastAsia="仿宋" w:hAnsi="仿宋" w:hint="eastAsia"/>
                <w:b/>
                <w:sz w:val="24"/>
                <w:szCs w:val="24"/>
              </w:rPr>
              <w:t>教学模块</w:t>
            </w:r>
          </w:p>
        </w:tc>
        <w:tc>
          <w:tcPr>
            <w:tcW w:w="4106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982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2141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备注说明</w:t>
            </w:r>
          </w:p>
        </w:tc>
      </w:tr>
      <w:tr w:rsidR="002907EF" w:rsidTr="00227D42">
        <w:trPr>
          <w:jc w:val="center"/>
        </w:trPr>
        <w:tc>
          <w:tcPr>
            <w:tcW w:w="1707" w:type="dxa"/>
            <w:vMerge w:val="restart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4BC">
              <w:rPr>
                <w:rFonts w:ascii="仿宋" w:eastAsia="仿宋" w:hAnsi="仿宋" w:hint="eastAsia"/>
                <w:sz w:val="24"/>
                <w:szCs w:val="24"/>
              </w:rPr>
              <w:t>专题报告</w:t>
            </w:r>
          </w:p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学分）</w:t>
            </w:r>
          </w:p>
        </w:tc>
        <w:tc>
          <w:tcPr>
            <w:tcW w:w="4106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开营仪式、毕业典礼</w:t>
            </w:r>
          </w:p>
        </w:tc>
        <w:tc>
          <w:tcPr>
            <w:tcW w:w="982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</w:tc>
        <w:tc>
          <w:tcPr>
            <w:tcW w:w="2141" w:type="dxa"/>
            <w:vMerge w:val="restart"/>
          </w:tcPr>
          <w:p w:rsidR="002907EF" w:rsidRPr="00B4627B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其中国情教育不少于0.5学分，时事纵横不少于0.3学分，领导力开发不少于0.2</w:t>
            </w: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4BC">
              <w:rPr>
                <w:rFonts w:ascii="仿宋" w:eastAsia="仿宋" w:hAnsi="仿宋" w:hint="eastAsia"/>
                <w:sz w:val="24"/>
                <w:szCs w:val="24"/>
              </w:rPr>
              <w:t>国情教育</w:t>
            </w:r>
          </w:p>
        </w:tc>
        <w:tc>
          <w:tcPr>
            <w:tcW w:w="982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4BC">
              <w:rPr>
                <w:rFonts w:ascii="仿宋" w:eastAsia="仿宋" w:hAnsi="仿宋" w:hint="eastAsia"/>
                <w:sz w:val="24"/>
                <w:szCs w:val="24"/>
              </w:rPr>
              <w:t>0.1</w:t>
            </w:r>
            <w:r w:rsidRPr="00E104BC">
              <w:rPr>
                <w:rFonts w:ascii="仿宋" w:eastAsia="仿宋" w:hAnsi="仿宋"/>
                <w:sz w:val="24"/>
                <w:szCs w:val="24"/>
              </w:rPr>
              <w:t>/</w:t>
            </w:r>
            <w:r w:rsidRPr="00E104BC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时事纵横</w:t>
            </w:r>
          </w:p>
        </w:tc>
        <w:tc>
          <w:tcPr>
            <w:tcW w:w="982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领导力开发</w:t>
            </w:r>
          </w:p>
        </w:tc>
        <w:tc>
          <w:tcPr>
            <w:tcW w:w="982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4BC">
              <w:rPr>
                <w:rFonts w:ascii="仿宋" w:eastAsia="仿宋" w:hAnsi="仿宋" w:hint="eastAsia"/>
                <w:sz w:val="24"/>
                <w:szCs w:val="24"/>
              </w:rPr>
              <w:t>0.1</w:t>
            </w:r>
            <w:r w:rsidRPr="00E104BC">
              <w:rPr>
                <w:rFonts w:ascii="仿宋" w:eastAsia="仿宋" w:hAnsi="仿宋"/>
                <w:sz w:val="24"/>
                <w:szCs w:val="24"/>
              </w:rPr>
              <w:t>/</w:t>
            </w:r>
            <w:r w:rsidRPr="00E104BC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传统文化教育</w:t>
            </w:r>
          </w:p>
        </w:tc>
        <w:tc>
          <w:tcPr>
            <w:tcW w:w="982" w:type="dxa"/>
          </w:tcPr>
          <w:p w:rsidR="002907EF" w:rsidRPr="00E104BC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4BC">
              <w:rPr>
                <w:rFonts w:ascii="仿宋" w:eastAsia="仿宋" w:hAnsi="仿宋" w:hint="eastAsia"/>
                <w:sz w:val="24"/>
                <w:szCs w:val="24"/>
              </w:rPr>
              <w:t>0.1/次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 w:val="restart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627B">
              <w:rPr>
                <w:rFonts w:ascii="仿宋" w:eastAsia="仿宋" w:hAnsi="仿宋" w:hint="eastAsia"/>
                <w:sz w:val="24"/>
                <w:szCs w:val="24"/>
              </w:rPr>
              <w:t>社会观察</w:t>
            </w:r>
          </w:p>
          <w:p w:rsidR="002907EF" w:rsidRPr="00B4627B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学分）</w:t>
            </w: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社会调查方法学习</w:t>
            </w:r>
          </w:p>
        </w:tc>
        <w:tc>
          <w:tcPr>
            <w:tcW w:w="982" w:type="dxa"/>
          </w:tcPr>
          <w:p w:rsidR="002907EF" w:rsidRPr="00D35E70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 w:val="restart"/>
          </w:tcPr>
          <w:p w:rsidR="002907EF" w:rsidRPr="00D35E70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其中热点话题不少于</w:t>
            </w:r>
            <w:r w:rsidRPr="002F4DF6">
              <w:rPr>
                <w:rFonts w:ascii="仿宋" w:eastAsia="仿宋" w:hAnsi="仿宋" w:hint="eastAsia"/>
                <w:sz w:val="24"/>
                <w:szCs w:val="24"/>
              </w:rPr>
              <w:t>0.6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B4627B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Pr="00B4627B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每周热点话题</w:t>
            </w:r>
          </w:p>
        </w:tc>
        <w:tc>
          <w:tcPr>
            <w:tcW w:w="982" w:type="dxa"/>
          </w:tcPr>
          <w:p w:rsidR="002907EF" w:rsidRPr="00D35E70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E70">
              <w:rPr>
                <w:rFonts w:ascii="仿宋" w:eastAsia="仿宋" w:hAnsi="仿宋" w:hint="eastAsia"/>
                <w:sz w:val="24"/>
                <w:szCs w:val="24"/>
              </w:rPr>
              <w:t>0.3</w:t>
            </w:r>
            <w:r w:rsidRPr="00D35E70">
              <w:rPr>
                <w:rFonts w:ascii="仿宋" w:eastAsia="仿宋" w:hAnsi="仿宋"/>
                <w:sz w:val="24"/>
                <w:szCs w:val="24"/>
              </w:rPr>
              <w:t>/</w:t>
            </w:r>
            <w:r w:rsidRPr="00D35E70">
              <w:rPr>
                <w:rFonts w:ascii="仿宋" w:eastAsia="仿宋" w:hAnsi="仿宋" w:hint="eastAsia"/>
                <w:sz w:val="24"/>
                <w:szCs w:val="24"/>
              </w:rPr>
              <w:t>学期</w:t>
            </w:r>
          </w:p>
        </w:tc>
        <w:tc>
          <w:tcPr>
            <w:tcW w:w="2141" w:type="dxa"/>
            <w:vMerge/>
          </w:tcPr>
          <w:p w:rsidR="002907EF" w:rsidRPr="00D35E70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Pr="00B4627B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*学生专项调研</w:t>
            </w:r>
          </w:p>
        </w:tc>
        <w:tc>
          <w:tcPr>
            <w:tcW w:w="982" w:type="dxa"/>
          </w:tcPr>
          <w:p w:rsidR="002907EF" w:rsidRPr="00B4627B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627B"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 w:rsidRPr="00B4627B">
              <w:rPr>
                <w:rFonts w:ascii="仿宋" w:eastAsia="仿宋" w:hAnsi="仿宋"/>
                <w:sz w:val="24"/>
                <w:szCs w:val="24"/>
              </w:rPr>
              <w:t>/</w:t>
            </w:r>
            <w:r w:rsidRPr="00B4627B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 w:val="restart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67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实践锻炼</w:t>
            </w:r>
          </w:p>
          <w:p w:rsidR="002907EF" w:rsidRPr="00065676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学分）</w:t>
            </w: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爱国主义教育基地参观</w:t>
            </w:r>
          </w:p>
        </w:tc>
        <w:tc>
          <w:tcPr>
            <w:tcW w:w="982" w:type="dxa"/>
          </w:tcPr>
          <w:p w:rsidR="002907EF" w:rsidRPr="00065676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 w:val="restart"/>
          </w:tcPr>
          <w:p w:rsidR="002907EF" w:rsidRPr="009A7E06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7E06">
              <w:rPr>
                <w:rFonts w:ascii="仿宋" w:eastAsia="仿宋" w:hAnsi="仿宋" w:hint="eastAsia"/>
                <w:sz w:val="24"/>
                <w:szCs w:val="24"/>
              </w:rPr>
              <w:t>参加创新创业比赛取得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名次获得相应学分</w:t>
            </w: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暑期社会实践</w:t>
            </w:r>
          </w:p>
        </w:tc>
        <w:tc>
          <w:tcPr>
            <w:tcW w:w="982" w:type="dxa"/>
          </w:tcPr>
          <w:p w:rsidR="002907EF" w:rsidRDefault="002907EF" w:rsidP="00227D42">
            <w:pPr>
              <w:jc w:val="center"/>
            </w:pPr>
            <w:r w:rsidRPr="007F4EE4"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 w:rsidRPr="007F4E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7F4EE4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革命老区考察调研</w:t>
            </w:r>
          </w:p>
        </w:tc>
        <w:tc>
          <w:tcPr>
            <w:tcW w:w="982" w:type="dxa"/>
          </w:tcPr>
          <w:p w:rsidR="002907EF" w:rsidRDefault="002907EF" w:rsidP="00227D42">
            <w:pPr>
              <w:jc w:val="center"/>
            </w:pPr>
            <w:r w:rsidRPr="007F4EE4"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 w:rsidRPr="007F4E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7F4EE4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*创新创业竞赛活动</w:t>
            </w:r>
          </w:p>
        </w:tc>
        <w:tc>
          <w:tcPr>
            <w:tcW w:w="982" w:type="dxa"/>
          </w:tcPr>
          <w:p w:rsidR="002907EF" w:rsidRDefault="002907EF" w:rsidP="00227D42">
            <w:pPr>
              <w:jc w:val="center"/>
            </w:pPr>
            <w:r w:rsidRPr="007F4EE4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F4E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7F4EE4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 w:val="restart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EF0">
              <w:rPr>
                <w:rFonts w:ascii="仿宋" w:eastAsia="仿宋" w:hAnsi="仿宋" w:hint="eastAsia"/>
                <w:sz w:val="24"/>
                <w:szCs w:val="24"/>
              </w:rPr>
              <w:t>交流研讨</w:t>
            </w:r>
          </w:p>
          <w:p w:rsidR="002907EF" w:rsidRPr="00361EF0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学分）</w:t>
            </w: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青年正确价值观树立问题研讨交流</w:t>
            </w:r>
          </w:p>
        </w:tc>
        <w:tc>
          <w:tcPr>
            <w:tcW w:w="982" w:type="dxa"/>
            <w:vAlign w:val="center"/>
          </w:tcPr>
          <w:p w:rsidR="002907EF" w:rsidRPr="007F4EE4" w:rsidRDefault="002907EF" w:rsidP="00227D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 w:rsidRPr="007F4E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7F4EE4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“青春榜样”报告会</w:t>
            </w:r>
          </w:p>
        </w:tc>
        <w:tc>
          <w:tcPr>
            <w:tcW w:w="982" w:type="dxa"/>
            <w:vAlign w:val="center"/>
          </w:tcPr>
          <w:p w:rsidR="002907EF" w:rsidRPr="007F4EE4" w:rsidRDefault="002907EF" w:rsidP="00227D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 w:rsidRPr="007F4E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7F4EE4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青年领袖论坛</w:t>
            </w:r>
          </w:p>
        </w:tc>
        <w:tc>
          <w:tcPr>
            <w:tcW w:w="982" w:type="dxa"/>
            <w:vAlign w:val="center"/>
          </w:tcPr>
          <w:p w:rsidR="002907EF" w:rsidRPr="007F4EE4" w:rsidRDefault="002907EF" w:rsidP="00227D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0.6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</w:tcPr>
          <w:p w:rsidR="002907EF" w:rsidRPr="00361EF0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EF0">
              <w:rPr>
                <w:rFonts w:ascii="仿宋" w:eastAsia="仿宋" w:hAnsi="仿宋" w:hint="eastAsia"/>
                <w:sz w:val="24"/>
                <w:szCs w:val="24"/>
              </w:rPr>
              <w:t>兄弟高校交流</w:t>
            </w: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*团队建设研讨</w:t>
            </w:r>
          </w:p>
        </w:tc>
        <w:tc>
          <w:tcPr>
            <w:tcW w:w="982" w:type="dxa"/>
          </w:tcPr>
          <w:p w:rsidR="002907EF" w:rsidRPr="00B4627B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 w:rsidRPr="007F4E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7F4EE4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成果汇报会</w:t>
            </w:r>
          </w:p>
        </w:tc>
        <w:tc>
          <w:tcPr>
            <w:tcW w:w="982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  <w:r w:rsidRPr="007F4E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7F4EE4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2141" w:type="dxa"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 w:val="restart"/>
          </w:tcPr>
          <w:p w:rsidR="002907EF" w:rsidRPr="000B129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129F">
              <w:rPr>
                <w:rFonts w:ascii="仿宋" w:eastAsia="仿宋" w:hAnsi="仿宋" w:hint="eastAsia"/>
                <w:sz w:val="24"/>
                <w:szCs w:val="24"/>
              </w:rPr>
              <w:t>课题研究</w:t>
            </w:r>
            <w:r>
              <w:rPr>
                <w:rFonts w:ascii="仿宋" w:eastAsia="仿宋" w:hAnsi="仿宋"/>
                <w:sz w:val="24"/>
                <w:szCs w:val="24"/>
              </w:rPr>
              <w:t>（0.5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学分）</w:t>
            </w: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撰写主题调研报告</w:t>
            </w:r>
          </w:p>
        </w:tc>
        <w:tc>
          <w:tcPr>
            <w:tcW w:w="982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141" w:type="dxa"/>
            <w:vMerge w:val="restart"/>
          </w:tcPr>
          <w:p w:rsidR="002907EF" w:rsidRPr="000B129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129F">
              <w:rPr>
                <w:rFonts w:ascii="仿宋" w:eastAsia="仿宋" w:hAnsi="仿宋" w:hint="eastAsia"/>
                <w:sz w:val="24"/>
                <w:szCs w:val="24"/>
              </w:rPr>
              <w:t>经认定，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获得1学分</w:t>
            </w: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*各类科研论文、项目成果</w:t>
            </w:r>
          </w:p>
        </w:tc>
        <w:tc>
          <w:tcPr>
            <w:tcW w:w="982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 w:val="restart"/>
          </w:tcPr>
          <w:p w:rsidR="002907EF" w:rsidRPr="000B129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129F">
              <w:rPr>
                <w:rFonts w:ascii="仿宋" w:eastAsia="仿宋" w:hAnsi="仿宋" w:hint="eastAsia"/>
                <w:sz w:val="24"/>
                <w:szCs w:val="24"/>
              </w:rPr>
              <w:t>素质拓展</w:t>
            </w:r>
            <w:r>
              <w:rPr>
                <w:rFonts w:ascii="仿宋" w:eastAsia="仿宋" w:hAnsi="仿宋"/>
                <w:sz w:val="24"/>
                <w:szCs w:val="24"/>
              </w:rPr>
              <w:t>（0.5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团体辅导</w:t>
            </w:r>
          </w:p>
        </w:tc>
        <w:tc>
          <w:tcPr>
            <w:tcW w:w="982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141" w:type="dxa"/>
            <w:vMerge w:val="restart"/>
          </w:tcPr>
          <w:p w:rsidR="002907EF" w:rsidRPr="00B572A4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72A4">
              <w:rPr>
                <w:rFonts w:ascii="仿宋" w:eastAsia="仿宋" w:hAnsi="仿宋" w:hint="eastAsia"/>
                <w:sz w:val="24"/>
                <w:szCs w:val="24"/>
              </w:rPr>
              <w:t>经典阅读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至少提交2篇读书报告；演讲完成10学时培训， 1次展示</w:t>
            </w: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经典阅读</w:t>
            </w:r>
          </w:p>
        </w:tc>
        <w:tc>
          <w:tcPr>
            <w:tcW w:w="982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907EF" w:rsidTr="00227D42">
        <w:trPr>
          <w:jc w:val="center"/>
        </w:trPr>
        <w:tc>
          <w:tcPr>
            <w:tcW w:w="1707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*青年领袖演讲培训</w:t>
            </w:r>
          </w:p>
        </w:tc>
        <w:tc>
          <w:tcPr>
            <w:tcW w:w="982" w:type="dxa"/>
          </w:tcPr>
          <w:p w:rsidR="002907EF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141" w:type="dxa"/>
            <w:vMerge/>
          </w:tcPr>
          <w:p w:rsidR="002907EF" w:rsidRPr="00227768" w:rsidRDefault="002907EF" w:rsidP="00227D4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2907EF" w:rsidRPr="00975E8D" w:rsidRDefault="002907EF" w:rsidP="002907EF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5E8D">
        <w:rPr>
          <w:rFonts w:ascii="仿宋" w:eastAsia="仿宋" w:hAnsi="仿宋" w:hint="eastAsia"/>
          <w:b/>
          <w:sz w:val="30"/>
          <w:szCs w:val="30"/>
        </w:rPr>
        <w:t>五、成效考核</w:t>
      </w:r>
    </w:p>
    <w:p w:rsidR="002907EF" w:rsidRPr="009A7E06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星火训练营使用学分制考核办法进行考核，每个学员须完成必选课和专修课</w:t>
      </w:r>
      <w:r w:rsidRPr="009A7E06">
        <w:rPr>
          <w:rFonts w:ascii="仿宋" w:eastAsia="仿宋" w:hAnsi="仿宋" w:hint="eastAsia"/>
          <w:sz w:val="30"/>
          <w:szCs w:val="30"/>
        </w:rPr>
        <w:t>教育模块课程，</w:t>
      </w:r>
      <w:r>
        <w:rPr>
          <w:rFonts w:ascii="仿宋" w:eastAsia="仿宋" w:hAnsi="仿宋" w:hint="eastAsia"/>
          <w:sz w:val="30"/>
          <w:szCs w:val="30"/>
        </w:rPr>
        <w:t>经考核认定，获得相应学分。</w:t>
      </w:r>
    </w:p>
    <w:p w:rsidR="002907EF" w:rsidRPr="009A7E06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星火训练营</w:t>
      </w:r>
      <w:r w:rsidRPr="009A7E06">
        <w:rPr>
          <w:rFonts w:ascii="仿宋" w:eastAsia="仿宋" w:hAnsi="仿宋" w:hint="eastAsia"/>
          <w:sz w:val="30"/>
          <w:szCs w:val="30"/>
        </w:rPr>
        <w:t>学员，在完成必选课和专修课的课程外，在结业前需提交一份</w:t>
      </w:r>
      <w:r>
        <w:rPr>
          <w:rFonts w:ascii="仿宋" w:eastAsia="仿宋" w:hAnsi="仿宋" w:hint="eastAsia"/>
          <w:sz w:val="30"/>
          <w:szCs w:val="30"/>
        </w:rPr>
        <w:t>结业报告或成果展示</w:t>
      </w:r>
      <w:r w:rsidRPr="009A7E06">
        <w:rPr>
          <w:rFonts w:ascii="仿宋" w:eastAsia="仿宋" w:hAnsi="仿宋" w:hint="eastAsia"/>
          <w:sz w:val="30"/>
          <w:szCs w:val="30"/>
        </w:rPr>
        <w:t>，经考核认定后方可结业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907EF" w:rsidRPr="00975E8D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学校对不及时参加培训、不能完成各教育模块任务的学员进行动态</w:t>
      </w:r>
      <w:r w:rsidRPr="009A7E06">
        <w:rPr>
          <w:rFonts w:ascii="仿宋" w:eastAsia="仿宋" w:hAnsi="仿宋" w:hint="eastAsia"/>
          <w:sz w:val="30"/>
          <w:szCs w:val="30"/>
        </w:rPr>
        <w:t>淘汰或不予结业。</w:t>
      </w:r>
    </w:p>
    <w:p w:rsidR="002907EF" w:rsidRPr="00975E8D" w:rsidRDefault="002907EF" w:rsidP="002907EF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5E8D">
        <w:rPr>
          <w:rFonts w:ascii="仿宋" w:eastAsia="仿宋" w:hAnsi="仿宋" w:hint="eastAsia"/>
          <w:b/>
          <w:sz w:val="30"/>
          <w:szCs w:val="30"/>
        </w:rPr>
        <w:t>六、跟踪培养</w:t>
      </w:r>
    </w:p>
    <w:p w:rsidR="002907EF" w:rsidRPr="009A7E06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A7E06">
        <w:rPr>
          <w:rFonts w:ascii="仿宋" w:eastAsia="仿宋" w:hAnsi="仿宋" w:hint="eastAsia"/>
          <w:sz w:val="30"/>
          <w:szCs w:val="30"/>
        </w:rPr>
        <w:t>为了进一步做好学员的培训工作，建立长效培养机制，使全体学员得到全面的成长，</w:t>
      </w:r>
      <w:r w:rsidRPr="00884C68">
        <w:rPr>
          <w:rFonts w:ascii="仿宋" w:eastAsia="仿宋" w:hAnsi="仿宋" w:hint="eastAsia"/>
          <w:sz w:val="30"/>
          <w:szCs w:val="30"/>
        </w:rPr>
        <w:t>“星火训练营”</w:t>
      </w:r>
      <w:r w:rsidRPr="009A7E06">
        <w:rPr>
          <w:rFonts w:ascii="仿宋" w:eastAsia="仿宋" w:hAnsi="仿宋" w:hint="eastAsia"/>
          <w:sz w:val="30"/>
          <w:szCs w:val="30"/>
        </w:rPr>
        <w:t>继续实施学员跟踪培养：</w:t>
      </w:r>
    </w:p>
    <w:p w:rsidR="002907EF" w:rsidRPr="009A7E06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A7E06">
        <w:rPr>
          <w:rFonts w:ascii="仿宋" w:eastAsia="仿宋" w:hAnsi="仿宋" w:hint="eastAsia"/>
          <w:sz w:val="30"/>
          <w:szCs w:val="30"/>
        </w:rPr>
        <w:t>1.建立本学员信息库，包括学员基本信息、学习成绩、任职情况、奖惩情况等，定期更新。</w:t>
      </w:r>
    </w:p>
    <w:p w:rsidR="002907EF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A7E06"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分小组配备指导教师，</w:t>
      </w:r>
      <w:r w:rsidRPr="009A7E06">
        <w:rPr>
          <w:rFonts w:ascii="仿宋" w:eastAsia="仿宋" w:hAnsi="仿宋" w:hint="eastAsia"/>
          <w:sz w:val="30"/>
          <w:szCs w:val="30"/>
        </w:rPr>
        <w:t>采用座谈会、一对一面谈等形式定期与学员进行交流</w:t>
      </w:r>
      <w:r>
        <w:rPr>
          <w:rFonts w:ascii="仿宋" w:eastAsia="仿宋" w:hAnsi="仿宋" w:hint="eastAsia"/>
          <w:sz w:val="30"/>
          <w:szCs w:val="30"/>
        </w:rPr>
        <w:t>，并从</w:t>
      </w:r>
      <w:r w:rsidRPr="009A7E06">
        <w:rPr>
          <w:rFonts w:ascii="仿宋" w:eastAsia="仿宋" w:hAnsi="仿宋" w:hint="eastAsia"/>
          <w:sz w:val="30"/>
          <w:szCs w:val="30"/>
        </w:rPr>
        <w:t>学习、生活、工作等方面对学员进行全方位指导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907EF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3.</w:t>
      </w:r>
      <w:r>
        <w:rPr>
          <w:rFonts w:ascii="仿宋" w:eastAsia="仿宋" w:hAnsi="仿宋" w:hint="eastAsia"/>
          <w:sz w:val="30"/>
          <w:szCs w:val="30"/>
        </w:rPr>
        <w:t>根据训练营活动情况及日常表现，推荐优秀学员参加校内外、境内外学生骨干短训项目；根据个人意愿、兴趣爱好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研究方向等优先推荐训练营学员加入辅导员研究工作室，开展相关学术研究。</w:t>
      </w:r>
    </w:p>
    <w:p w:rsidR="002907EF" w:rsidRPr="009A7E06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训练营学员申请学校辅导员助理、兼职辅导员等项目，同等条件下可优先录取。</w:t>
      </w:r>
    </w:p>
    <w:p w:rsidR="002907EF" w:rsidRPr="009A7E06" w:rsidRDefault="002907EF" w:rsidP="002907E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Pr="009A7E06">
        <w:rPr>
          <w:rFonts w:ascii="仿宋" w:eastAsia="仿宋" w:hAnsi="仿宋" w:hint="eastAsia"/>
          <w:sz w:val="30"/>
          <w:szCs w:val="30"/>
        </w:rPr>
        <w:t>.对已结业的学员，</w:t>
      </w:r>
      <w:r>
        <w:rPr>
          <w:rFonts w:ascii="仿宋" w:eastAsia="仿宋" w:hAnsi="仿宋" w:hint="eastAsia"/>
          <w:sz w:val="30"/>
          <w:szCs w:val="30"/>
        </w:rPr>
        <w:t>学院</w:t>
      </w:r>
      <w:r w:rsidRPr="009A7E06">
        <w:rPr>
          <w:rFonts w:ascii="仿宋" w:eastAsia="仿宋" w:hAnsi="仿宋" w:hint="eastAsia"/>
          <w:sz w:val="30"/>
          <w:szCs w:val="30"/>
        </w:rPr>
        <w:t>要进行职业跟踪或学业跟踪；对选择就业的学员进行就业指导，对选择考研保</w:t>
      </w:r>
      <w:proofErr w:type="gramStart"/>
      <w:r w:rsidRPr="009A7E06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9A7E06">
        <w:rPr>
          <w:rFonts w:ascii="仿宋" w:eastAsia="仿宋" w:hAnsi="仿宋" w:hint="eastAsia"/>
          <w:sz w:val="30"/>
          <w:szCs w:val="30"/>
        </w:rPr>
        <w:t>的同学提供相关信息，并对就业与发展情况进行信息库更新。</w:t>
      </w:r>
    </w:p>
    <w:p w:rsidR="007952DD" w:rsidRPr="002907EF" w:rsidRDefault="002907EF"/>
    <w:sectPr w:rsidR="007952DD" w:rsidRPr="0029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F"/>
    <w:rsid w:val="002907EF"/>
    <w:rsid w:val="002B52B5"/>
    <w:rsid w:val="00A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6E985-1E23-46CC-87E9-3152C0E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1222</Characters>
  <Application>Microsoft Office Word</Application>
  <DocSecurity>0</DocSecurity>
  <Lines>10</Lines>
  <Paragraphs>2</Paragraphs>
  <ScaleCrop>false</ScaleCrop>
  <Company>HP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</dc:creator>
  <cp:keywords/>
  <dc:description/>
  <cp:lastModifiedBy>赵晓</cp:lastModifiedBy>
  <cp:revision>1</cp:revision>
  <dcterms:created xsi:type="dcterms:W3CDTF">2018-11-14T09:22:00Z</dcterms:created>
  <dcterms:modified xsi:type="dcterms:W3CDTF">2018-11-14T09:23:00Z</dcterms:modified>
</cp:coreProperties>
</file>